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97A8B" w14:textId="2A7C2F13" w:rsidR="00201AC2" w:rsidRPr="001A40E2" w:rsidRDefault="000D5438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Zooming in</w:t>
      </w:r>
    </w:p>
    <w:p w14:paraId="75DEF138" w14:textId="4364E8F1" w:rsidR="00201AC2" w:rsidRDefault="000D5438" w:rsidP="00201AC2">
      <w:pPr>
        <w:spacing w:after="180"/>
      </w:pPr>
      <w:r>
        <w:t>If you look at some nails with your eyes, this is what you m</w:t>
      </w:r>
      <w:r w:rsidR="00813B8F">
        <w:t xml:space="preserve">ay </w:t>
      </w:r>
      <w:r>
        <w:t>see.</w:t>
      </w:r>
    </w:p>
    <w:p w14:paraId="11493B92" w14:textId="77777777" w:rsidR="00813B8F" w:rsidRDefault="00813B8F" w:rsidP="00201AC2">
      <w:pPr>
        <w:spacing w:after="180"/>
      </w:pPr>
    </w:p>
    <w:p w14:paraId="04D8ECFB" w14:textId="4FAD0E6F" w:rsidR="007C26E1" w:rsidRDefault="000D5438" w:rsidP="00813B8F">
      <w:pPr>
        <w:spacing w:after="180"/>
      </w:pPr>
      <w:r w:rsidRPr="000D5438">
        <w:rPr>
          <w:noProof/>
        </w:rPr>
        <w:drawing>
          <wp:inline distT="0" distB="0" distL="0" distR="0" wp14:anchorId="5793A6E8" wp14:editId="5677012D">
            <wp:extent cx="3448594" cy="2299063"/>
            <wp:effectExtent l="0" t="0" r="0" b="635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594" cy="2299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F98AF" w14:textId="77777777" w:rsidR="00813B8F" w:rsidRDefault="00813B8F" w:rsidP="00813B8F">
      <w:pPr>
        <w:spacing w:after="180"/>
      </w:pPr>
    </w:p>
    <w:p w14:paraId="446DFD17" w14:textId="6FC3AE8D" w:rsidR="000D5438" w:rsidRDefault="000D5438" w:rsidP="000D5438">
      <w:pPr>
        <w:spacing w:after="180"/>
      </w:pPr>
      <w:r>
        <w:t>You could look more closely at one nail with a magnifying glass or a microscope.</w:t>
      </w:r>
    </w:p>
    <w:p w14:paraId="410C5B8C" w14:textId="4401AAE3" w:rsidR="000D5438" w:rsidRDefault="000D5438" w:rsidP="000D5438">
      <w:pPr>
        <w:spacing w:after="180"/>
      </w:pPr>
      <w:r>
        <w:t>Imagine that you could zoom in even more closely.</w:t>
      </w:r>
    </w:p>
    <w:p w14:paraId="0F0596CB" w14:textId="77777777" w:rsidR="000D5438" w:rsidRDefault="000D5438" w:rsidP="000D5438">
      <w:pPr>
        <w:spacing w:after="180"/>
      </w:pPr>
    </w:p>
    <w:p w14:paraId="31A500EE" w14:textId="098C6C76" w:rsidR="00201AC2" w:rsidRPr="000D5438" w:rsidRDefault="000D5438" w:rsidP="000D5438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Draw and label a diagram of what you think you would see.</w:t>
      </w:r>
    </w:p>
    <w:p w14:paraId="2221853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7AFFCE17" w14:textId="1E6022FE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CD4BAA">
        <w:rPr>
          <w:i/>
          <w:sz w:val="18"/>
          <w:szCs w:val="18"/>
        </w:rPr>
        <w:t>CPS</w:t>
      </w:r>
      <w:r w:rsidR="0007651D">
        <w:rPr>
          <w:i/>
          <w:sz w:val="18"/>
          <w:szCs w:val="18"/>
        </w:rPr>
        <w:t xml:space="preserve">: </w:t>
      </w:r>
      <w:r w:rsidR="00CD4BAA">
        <w:rPr>
          <w:i/>
          <w:sz w:val="18"/>
          <w:szCs w:val="18"/>
        </w:rPr>
        <w:t>Particles</w:t>
      </w:r>
      <w:r w:rsidR="00526721">
        <w:rPr>
          <w:i/>
          <w:sz w:val="18"/>
          <w:szCs w:val="18"/>
        </w:rPr>
        <w:t xml:space="preserve"> and structure</w:t>
      </w:r>
      <w:r w:rsidR="0007651D">
        <w:rPr>
          <w:i/>
          <w:sz w:val="18"/>
          <w:szCs w:val="18"/>
        </w:rPr>
        <w:t xml:space="preserve"> &gt; Topic </w:t>
      </w:r>
      <w:r w:rsidR="00CF6E58">
        <w:rPr>
          <w:i/>
          <w:sz w:val="18"/>
          <w:szCs w:val="18"/>
        </w:rPr>
        <w:t>CPS1</w:t>
      </w:r>
      <w:r w:rsidR="0007651D">
        <w:rPr>
          <w:i/>
          <w:sz w:val="18"/>
          <w:szCs w:val="18"/>
        </w:rPr>
        <w:t xml:space="preserve">: </w:t>
      </w:r>
      <w:r w:rsidR="006F1893">
        <w:rPr>
          <w:i/>
          <w:sz w:val="18"/>
          <w:szCs w:val="18"/>
        </w:rPr>
        <w:t>Substances and mixtures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CF6E58">
        <w:rPr>
          <w:i/>
          <w:sz w:val="18"/>
          <w:szCs w:val="18"/>
        </w:rPr>
        <w:t>CPS1.1</w:t>
      </w:r>
      <w:r w:rsidR="006F3279" w:rsidRPr="00CA4B46">
        <w:rPr>
          <w:i/>
          <w:sz w:val="18"/>
          <w:szCs w:val="18"/>
        </w:rPr>
        <w:t xml:space="preserve">: </w:t>
      </w:r>
      <w:r w:rsidR="00CF6E58">
        <w:rPr>
          <w:i/>
          <w:sz w:val="18"/>
          <w:szCs w:val="18"/>
        </w:rPr>
        <w:t>Particle model for the solid, liquid and gas states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7F3BBB9C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42923D05" w14:textId="1CC43BBE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526721">
              <w:rPr>
                <w:b/>
                <w:sz w:val="40"/>
                <w:szCs w:val="40"/>
              </w:rPr>
              <w:t xml:space="preserve"> question</w:t>
            </w:r>
          </w:p>
        </w:tc>
      </w:tr>
      <w:tr w:rsidR="006F3279" w14:paraId="5FF3890E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319944DC" w14:textId="1C6C67F2" w:rsidR="006F3279" w:rsidRPr="00CA4B46" w:rsidRDefault="009636C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Zooming in</w:t>
            </w:r>
          </w:p>
        </w:tc>
      </w:tr>
    </w:tbl>
    <w:p w14:paraId="1CDDD5D3" w14:textId="77777777" w:rsidR="006F3279" w:rsidRPr="006F3279" w:rsidRDefault="006F3279" w:rsidP="00E172C6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767AFC21" w14:textId="77777777" w:rsidTr="003F16F9">
        <w:trPr>
          <w:trHeight w:val="340"/>
        </w:trPr>
        <w:tc>
          <w:tcPr>
            <w:tcW w:w="2196" w:type="dxa"/>
          </w:tcPr>
          <w:p w14:paraId="0560BD2C" w14:textId="4C3EB9A6" w:rsidR="003F16F9" w:rsidRDefault="003F16F9" w:rsidP="00B75483">
            <w:pPr>
              <w:spacing w:before="60" w:after="60"/>
            </w:pPr>
            <w:r>
              <w:t xml:space="preserve">Learning </w:t>
            </w:r>
            <w:r w:rsidR="00A53F8B">
              <w:t>focus</w:t>
            </w:r>
            <w:r>
              <w:t>:</w:t>
            </w:r>
          </w:p>
        </w:tc>
        <w:tc>
          <w:tcPr>
            <w:tcW w:w="6820" w:type="dxa"/>
          </w:tcPr>
          <w:p w14:paraId="6B45F954" w14:textId="03BE2A06" w:rsidR="003F16F9" w:rsidRDefault="009636CE" w:rsidP="0007651D">
            <w:pPr>
              <w:spacing w:before="60" w:after="60"/>
            </w:pPr>
            <w:r w:rsidRPr="009636CE">
              <w:t>Understand a basic particle model of matter that can explain the properties of substances in the solid and liquid states.</w:t>
            </w:r>
          </w:p>
        </w:tc>
      </w:tr>
      <w:tr w:rsidR="003F16F9" w14:paraId="50AC55C7" w14:textId="77777777" w:rsidTr="003F16F9">
        <w:trPr>
          <w:trHeight w:val="340"/>
        </w:trPr>
        <w:tc>
          <w:tcPr>
            <w:tcW w:w="2196" w:type="dxa"/>
          </w:tcPr>
          <w:p w14:paraId="67277E7D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712C6F07" w14:textId="23F5DC26" w:rsidR="003F16F9" w:rsidRPr="00A50C9C" w:rsidRDefault="009636CE" w:rsidP="0007651D">
            <w:pPr>
              <w:spacing w:before="60" w:after="60"/>
              <w:rPr>
                <w:b/>
              </w:rPr>
            </w:pPr>
            <w:r w:rsidRPr="009636CE">
              <w:t>Describe substances as being made up of parts that are too small to be seen without magnification</w:t>
            </w:r>
          </w:p>
        </w:tc>
      </w:tr>
      <w:tr w:rsidR="000505CA" w14:paraId="18AC7B4C" w14:textId="77777777" w:rsidTr="003F16F9">
        <w:trPr>
          <w:trHeight w:val="340"/>
        </w:trPr>
        <w:tc>
          <w:tcPr>
            <w:tcW w:w="2196" w:type="dxa"/>
          </w:tcPr>
          <w:p w14:paraId="7E63A568" w14:textId="505C1E44" w:rsidR="000505CA" w:rsidRDefault="00526721" w:rsidP="000505CA">
            <w:pPr>
              <w:spacing w:before="60" w:after="60"/>
            </w:pPr>
            <w:r>
              <w:t xml:space="preserve">Question </w:t>
            </w:r>
            <w:r w:rsidR="000505CA">
              <w:t>type:</w:t>
            </w:r>
          </w:p>
        </w:tc>
        <w:tc>
          <w:tcPr>
            <w:tcW w:w="6820" w:type="dxa"/>
          </w:tcPr>
          <w:p w14:paraId="4FCD791F" w14:textId="7B1B4E4F" w:rsidR="000505CA" w:rsidRDefault="00526721" w:rsidP="0021607B">
            <w:pPr>
              <w:spacing w:before="60" w:after="60"/>
            </w:pPr>
            <w:r>
              <w:t>diagram</w:t>
            </w:r>
          </w:p>
        </w:tc>
      </w:tr>
      <w:tr w:rsidR="000505CA" w14:paraId="324BE393" w14:textId="77777777" w:rsidTr="003F16F9">
        <w:trPr>
          <w:trHeight w:val="340"/>
        </w:trPr>
        <w:tc>
          <w:tcPr>
            <w:tcW w:w="2196" w:type="dxa"/>
          </w:tcPr>
          <w:p w14:paraId="2C02CEB4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2C09CCC" w14:textId="1E0A9B94" w:rsidR="000505CA" w:rsidRDefault="00813B8F" w:rsidP="000505CA">
            <w:pPr>
              <w:spacing w:before="60" w:after="60"/>
            </w:pPr>
            <w:r>
              <w:t>s</w:t>
            </w:r>
            <w:r w:rsidR="009636CE">
              <w:t>olid, liquid, state</w:t>
            </w:r>
            <w:r>
              <w:t>,</w:t>
            </w:r>
            <w:r w:rsidR="009636CE">
              <w:t xml:space="preserve"> particle</w:t>
            </w:r>
          </w:p>
        </w:tc>
      </w:tr>
    </w:tbl>
    <w:p w14:paraId="1728249C" w14:textId="77777777" w:rsidR="00F72ECC" w:rsidRDefault="00F72ECC" w:rsidP="00F72ECC"/>
    <w:p w14:paraId="7A112F43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46633D0B" w14:textId="506F8684" w:rsidR="00F46B9C" w:rsidRPr="00DC02AA" w:rsidRDefault="00F46B9C" w:rsidP="00F46B9C">
      <w:pPr>
        <w:spacing w:after="180"/>
      </w:pPr>
      <w:r w:rsidRPr="00DC02AA">
        <w:t xml:space="preserve">Johnson (1998) identifies three misconceptions </w:t>
      </w:r>
      <w:r w:rsidR="00813B8F">
        <w:t xml:space="preserve">held by students </w:t>
      </w:r>
      <w:r w:rsidRPr="00DC02AA">
        <w:t>about the particulate nature of matter</w:t>
      </w:r>
      <w:r>
        <w:t>:</w:t>
      </w:r>
    </w:p>
    <w:p w14:paraId="68299B45" w14:textId="206DEDC9" w:rsidR="00F46B9C" w:rsidRDefault="00F46B9C" w:rsidP="00F46B9C">
      <w:pPr>
        <w:pStyle w:val="ListParagraph"/>
        <w:numPr>
          <w:ilvl w:val="0"/>
          <w:numId w:val="4"/>
        </w:numPr>
        <w:spacing w:after="180"/>
      </w:pPr>
      <w:r>
        <w:t>Substances are continuous (no recognition of particle ideas)</w:t>
      </w:r>
    </w:p>
    <w:p w14:paraId="1F36A2D3" w14:textId="77777777" w:rsidR="00F46B9C" w:rsidRDefault="00F46B9C" w:rsidP="00F46B9C">
      <w:pPr>
        <w:pStyle w:val="ListParagraph"/>
        <w:numPr>
          <w:ilvl w:val="0"/>
          <w:numId w:val="4"/>
        </w:numPr>
        <w:spacing w:after="180"/>
      </w:pPr>
      <w:r>
        <w:t>Particles are located within a continuous substance (rather than being the substance)</w:t>
      </w:r>
    </w:p>
    <w:p w14:paraId="0E113CB1" w14:textId="77777777" w:rsidR="00F46B9C" w:rsidRDefault="00F46B9C" w:rsidP="00F46B9C">
      <w:pPr>
        <w:pStyle w:val="ListParagraph"/>
        <w:numPr>
          <w:ilvl w:val="0"/>
          <w:numId w:val="4"/>
        </w:numPr>
        <w:spacing w:after="180"/>
      </w:pPr>
      <w:r>
        <w:t xml:space="preserve"> Particles are the substance (but macroscopic properties are given to the particles)</w:t>
      </w:r>
    </w:p>
    <w:p w14:paraId="46520314" w14:textId="2CB36F5D" w:rsidR="00F46B9C" w:rsidRDefault="00F46B9C" w:rsidP="00F46B9C">
      <w:pPr>
        <w:spacing w:after="180"/>
      </w:pPr>
      <w:r>
        <w:t>These contradict the standard particle model in which the particles are the substance</w:t>
      </w:r>
      <w:r w:rsidR="00490E30">
        <w:t>,</w:t>
      </w:r>
      <w:r>
        <w:t xml:space="preserve"> but the macroscopic properties of the substances arise collectively from the particles.</w:t>
      </w:r>
    </w:p>
    <w:p w14:paraId="766C6C65" w14:textId="733A548B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526721">
        <w:rPr>
          <w:b/>
          <w:color w:val="E36C0A" w:themeColor="accent6" w:themeShade="BF"/>
          <w:sz w:val="24"/>
        </w:rPr>
        <w:t>question</w:t>
      </w:r>
    </w:p>
    <w:p w14:paraId="1D1C9DF8" w14:textId="5936ABCA" w:rsidR="00813B8F" w:rsidRPr="00526721" w:rsidRDefault="000D5438" w:rsidP="007A748B">
      <w:pPr>
        <w:spacing w:after="180"/>
      </w:pPr>
      <w:r w:rsidRPr="000D5438">
        <w:t xml:space="preserve">This </w:t>
      </w:r>
      <w:r w:rsidR="00526721">
        <w:t>question</w:t>
      </w:r>
      <w:r w:rsidRPr="000D5438">
        <w:t xml:space="preserve"> is designed to be undertaken by student</w:t>
      </w:r>
      <w:r w:rsidR="00813B8F">
        <w:t>s</w:t>
      </w:r>
      <w:r w:rsidRPr="000D5438">
        <w:t xml:space="preserve"> individually</w:t>
      </w:r>
      <w:r w:rsidR="00813B8F">
        <w:t>, and unprompted,</w:t>
      </w:r>
      <w:r w:rsidRPr="000D5438">
        <w:t xml:space="preserve"> to find out </w:t>
      </w:r>
      <w:r>
        <w:t>if and how</w:t>
      </w:r>
      <w:r w:rsidR="00813B8F">
        <w:t xml:space="preserve"> </w:t>
      </w:r>
      <w:r w:rsidRPr="000D5438">
        <w:t>they include particles in their diagram</w:t>
      </w:r>
      <w:r w:rsidR="00813B8F">
        <w:t>s</w:t>
      </w:r>
      <w:r w:rsidRPr="000D5438">
        <w:t>.</w:t>
      </w:r>
    </w:p>
    <w:p w14:paraId="3B33C40E" w14:textId="259D42E9" w:rsidR="007A748B" w:rsidRPr="00D52283" w:rsidRDefault="00D52283" w:rsidP="007A748B">
      <w:pPr>
        <w:spacing w:after="180"/>
        <w:rPr>
          <w:i/>
        </w:rPr>
      </w:pPr>
      <w:r w:rsidRPr="00D52283">
        <w:rPr>
          <w:i/>
        </w:rPr>
        <w:t>Differentiation</w:t>
      </w:r>
    </w:p>
    <w:p w14:paraId="4BF513AB" w14:textId="0EA8A640" w:rsidR="00D52283" w:rsidRDefault="00B83ABA" w:rsidP="007A748B">
      <w:pPr>
        <w:spacing w:after="180"/>
      </w:pPr>
      <w:r>
        <w:t xml:space="preserve">Any students who can </w:t>
      </w:r>
      <w:r w:rsidR="000D5438">
        <w:t xml:space="preserve">draw an </w:t>
      </w:r>
      <w:r>
        <w:t xml:space="preserve">appropriate particle diagram could be challenged to </w:t>
      </w:r>
      <w:r w:rsidR="00B16866">
        <w:t>describe the movement of the particles.</w:t>
      </w:r>
    </w:p>
    <w:p w14:paraId="3F9C0B20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60639E9E" w14:textId="223EE099" w:rsidR="00BF6C8A" w:rsidRDefault="00DE16EC" w:rsidP="00BF6C8A">
      <w:pPr>
        <w:spacing w:after="180"/>
      </w:pPr>
      <w:r>
        <w:t>The expected answer is the standard particle diagram for a solid with the particles labelled as ‘iron particles’.</w:t>
      </w:r>
    </w:p>
    <w:p w14:paraId="68C904FD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6ECA825D" w14:textId="6734F844" w:rsidR="000D5438" w:rsidRPr="00B16866" w:rsidRDefault="00DE16EC" w:rsidP="006A4440">
      <w:pPr>
        <w:spacing w:after="180"/>
      </w:pPr>
      <w:r w:rsidRPr="00B16866">
        <w:t>Whilst there will be great variation in what students draw</w:t>
      </w:r>
      <w:r w:rsidR="000D5438" w:rsidRPr="00B16866">
        <w:t xml:space="preserve"> there are two key questions to ask about the diagrams</w:t>
      </w:r>
      <w:r w:rsidR="00B16866" w:rsidRPr="00B16866">
        <w:t>:</w:t>
      </w:r>
    </w:p>
    <w:p w14:paraId="0570C54B" w14:textId="453A399B" w:rsidR="000D5438" w:rsidRPr="00B16866" w:rsidRDefault="000D5438" w:rsidP="000D5438">
      <w:pPr>
        <w:pStyle w:val="ListParagraph"/>
        <w:numPr>
          <w:ilvl w:val="0"/>
          <w:numId w:val="5"/>
        </w:numPr>
        <w:spacing w:after="180"/>
      </w:pPr>
      <w:r w:rsidRPr="00B16866">
        <w:t>Has the student attempted any representation of particles in their diagram?</w:t>
      </w:r>
    </w:p>
    <w:p w14:paraId="65C0C88C" w14:textId="1D15EB51" w:rsidR="000D5438" w:rsidRPr="00B16866" w:rsidRDefault="000D5438" w:rsidP="000D5438">
      <w:pPr>
        <w:pStyle w:val="ListParagraph"/>
        <w:numPr>
          <w:ilvl w:val="0"/>
          <w:numId w:val="5"/>
        </w:numPr>
        <w:spacing w:after="180"/>
      </w:pPr>
      <w:r w:rsidRPr="00B16866">
        <w:t>Has the student drawn particles that are embedded within the substance (rather than being the substance)?</w:t>
      </w:r>
    </w:p>
    <w:p w14:paraId="2F26D95E" w14:textId="1484FD3A" w:rsidR="000D5438" w:rsidRDefault="004F039C" w:rsidP="006A4440">
      <w:pPr>
        <w:spacing w:after="180"/>
      </w:pPr>
      <w:r w:rsidRPr="004F039C">
        <w:t xml:space="preserve">If students have </w:t>
      </w:r>
      <w:r w:rsidR="00526721">
        <w:t>misunderstandings</w:t>
      </w:r>
      <w:r w:rsidRPr="004F039C">
        <w:t xml:space="preserve"> about </w:t>
      </w:r>
      <w:r w:rsidR="00B83ABA">
        <w:t>the particulate nature of matter it is important to introduce the concept of matter being made up of particles</w:t>
      </w:r>
      <w:r w:rsidR="00B16866">
        <w:t xml:space="preserve"> very carefully</w:t>
      </w:r>
      <w:r w:rsidR="00B83ABA">
        <w:t xml:space="preserve"> </w:t>
      </w:r>
      <w:r w:rsidR="00B16866">
        <w:t>as well as the detail of the particle model for the solid and liquid states.</w:t>
      </w:r>
    </w:p>
    <w:p w14:paraId="2B08FA19" w14:textId="4CF364D9" w:rsidR="00DE16EC" w:rsidRDefault="00B83ABA" w:rsidP="006A4440">
      <w:pPr>
        <w:spacing w:after="180"/>
      </w:pPr>
      <w:r>
        <w:t xml:space="preserve">If students have met the idea of particles </w:t>
      </w:r>
      <w:r w:rsidR="00526721">
        <w:t>but have misunderstandings</w:t>
      </w:r>
      <w:r>
        <w:t xml:space="preserve"> about particles being embedded in the matter it is important that the language used when teaching </w:t>
      </w:r>
      <w:r w:rsidR="000D5438">
        <w:t xml:space="preserve">the particle model </w:t>
      </w:r>
      <w:r>
        <w:t xml:space="preserve">does not reinforce this misconception for example by referring to ‘particles in a solid’. </w:t>
      </w:r>
    </w:p>
    <w:p w14:paraId="57B343FB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1343D272" w14:textId="00B06394" w:rsidR="00D278E8" w:rsidRPr="00DE16EC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F46B9C">
        <w:t>Helen Harden</w:t>
      </w:r>
      <w:r w:rsidR="0015356E">
        <w:t>(UYSEG</w:t>
      </w:r>
      <w:r w:rsidR="0015356E" w:rsidRPr="00DE16EC">
        <w:t xml:space="preserve">), </w:t>
      </w:r>
      <w:r w:rsidRPr="00DE16EC">
        <w:t xml:space="preserve">from an idea by </w:t>
      </w:r>
      <w:r w:rsidR="00F46B9C" w:rsidRPr="00DE16EC">
        <w:t xml:space="preserve">Philip Johnson </w:t>
      </w:r>
      <w:r w:rsidRPr="00DE16EC">
        <w:t>(</w:t>
      </w:r>
      <w:r w:rsidR="00DE16EC" w:rsidRPr="00DE16EC">
        <w:t>School of Education, University of Durham</w:t>
      </w:r>
      <w:r w:rsidRPr="00DE16EC">
        <w:t>).</w:t>
      </w:r>
    </w:p>
    <w:p w14:paraId="2BED2639" w14:textId="072D372C" w:rsidR="00CC78A5" w:rsidRDefault="00D278E8" w:rsidP="00E172C6">
      <w:pPr>
        <w:spacing w:after="180"/>
      </w:pPr>
      <w:r w:rsidRPr="00DE16EC">
        <w:t xml:space="preserve">Images: </w:t>
      </w:r>
      <w:proofErr w:type="spellStart"/>
      <w:r w:rsidR="003C7B77">
        <w:t>Kazac</w:t>
      </w:r>
      <w:proofErr w:type="spellEnd"/>
      <w:r w:rsidR="003C7B77">
        <w:t xml:space="preserve"> Maxim (</w:t>
      </w:r>
      <w:proofErr w:type="spellStart"/>
      <w:r w:rsidR="003C7B77">
        <w:t>Pixabay</w:t>
      </w:r>
      <w:proofErr w:type="spellEnd"/>
      <w:r w:rsidR="003C7B77">
        <w:t>)</w:t>
      </w:r>
    </w:p>
    <w:p w14:paraId="43E02522" w14:textId="77777777" w:rsidR="003117F6" w:rsidRPr="00323334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7200E556" w14:textId="77777777" w:rsidR="00844B5D" w:rsidRDefault="00844B5D" w:rsidP="00844B5D">
      <w:pPr>
        <w:spacing w:after="180"/>
      </w:pPr>
      <w:r>
        <w:t xml:space="preserve">Johnson, P. (1998). Progression in children’s understanding of a ‘basic’ particle theory: a longitudinal study. </w:t>
      </w:r>
      <w:r w:rsidRPr="00774666">
        <w:rPr>
          <w:i/>
        </w:rPr>
        <w:t>International Journal of Science Education</w:t>
      </w:r>
      <w:r>
        <w:rPr>
          <w:i/>
        </w:rPr>
        <w:t>.</w:t>
      </w:r>
      <w:r>
        <w:t xml:space="preserve"> 20(4) 393-412</w:t>
      </w:r>
    </w:p>
    <w:p w14:paraId="126E152D" w14:textId="77777777" w:rsidR="00490E30" w:rsidRPr="009D500B" w:rsidRDefault="00490E30" w:rsidP="00490E30">
      <w:pPr>
        <w:widowControl w:val="0"/>
        <w:autoSpaceDE w:val="0"/>
        <w:autoSpaceDN w:val="0"/>
        <w:adjustRightInd w:val="0"/>
        <w:rPr>
          <w:rFonts w:cstheme="minorHAnsi"/>
          <w:szCs w:val="24"/>
        </w:rPr>
      </w:pPr>
      <w:bookmarkStart w:id="0" w:name="_Hlk516748155"/>
      <w:r w:rsidRPr="009D500B">
        <w:rPr>
          <w:rFonts w:cstheme="minorHAnsi"/>
          <w:szCs w:val="24"/>
        </w:rPr>
        <w:t xml:space="preserve">Johnson, P. (2012). Introducing particle theory. In Taber, K. (ed.) </w:t>
      </w:r>
      <w:r w:rsidRPr="009D500B">
        <w:rPr>
          <w:rFonts w:cstheme="minorHAnsi"/>
          <w:i/>
          <w:iCs/>
          <w:szCs w:val="24"/>
        </w:rPr>
        <w:t xml:space="preserve">ASE Science Practice: Teaching Secondary Chemistry. </w:t>
      </w:r>
      <w:r w:rsidRPr="009D500B">
        <w:rPr>
          <w:rFonts w:cstheme="minorHAnsi"/>
          <w:szCs w:val="24"/>
        </w:rPr>
        <w:t>New edition ed. London: Hodder Education.</w:t>
      </w:r>
    </w:p>
    <w:p w14:paraId="08FD6DAF" w14:textId="4E0434E5" w:rsidR="00B46FF9" w:rsidRDefault="00B46FF9" w:rsidP="00490E30">
      <w:pPr>
        <w:spacing w:after="180"/>
      </w:pPr>
      <w:bookmarkStart w:id="1" w:name="_GoBack"/>
      <w:bookmarkEnd w:id="0"/>
      <w:bookmarkEnd w:id="1"/>
    </w:p>
    <w:sectPr w:rsidR="00B46FF9" w:rsidSect="00642ECD">
      <w:headerReference w:type="default" r:id="rId14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34FC7" w14:textId="77777777" w:rsidR="007A0096" w:rsidRDefault="007A0096" w:rsidP="000B473B">
      <w:r>
        <w:separator/>
      </w:r>
    </w:p>
  </w:endnote>
  <w:endnote w:type="continuationSeparator" w:id="0">
    <w:p w14:paraId="048F4DF1" w14:textId="77777777" w:rsidR="007A0096" w:rsidRDefault="007A009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C76BF" w14:textId="77777777" w:rsidR="00526721" w:rsidRDefault="005267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E1AA6" w14:textId="5E76D08E" w:rsidR="000D5438" w:rsidRDefault="000D5438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46C9C33" wp14:editId="55B0F9D0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997D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368BB">
      <w:rPr>
        <w:noProof/>
      </w:rPr>
      <w:t>3</w:t>
    </w:r>
    <w:r>
      <w:rPr>
        <w:noProof/>
      </w:rPr>
      <w:fldChar w:fldCharType="end"/>
    </w:r>
  </w:p>
  <w:p w14:paraId="1AB128ED" w14:textId="77777777" w:rsidR="000D5438" w:rsidRDefault="000D5438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item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97BBEAD" w14:textId="77777777" w:rsidR="000D5438" w:rsidRPr="00201AC2" w:rsidRDefault="000D5438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90107" w14:textId="77777777" w:rsidR="00526721" w:rsidRDefault="005267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C82BED" w14:textId="77777777" w:rsidR="007A0096" w:rsidRDefault="007A0096" w:rsidP="000B473B">
      <w:r>
        <w:separator/>
      </w:r>
    </w:p>
  </w:footnote>
  <w:footnote w:type="continuationSeparator" w:id="0">
    <w:p w14:paraId="2FC41D00" w14:textId="77777777" w:rsidR="007A0096" w:rsidRDefault="007A009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AD1E1" w14:textId="77777777" w:rsidR="00526721" w:rsidRDefault="005267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06E51" w14:textId="77777777" w:rsidR="000D5438" w:rsidRPr="004E5592" w:rsidRDefault="000D5438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79BB2137" wp14:editId="1AF62BE6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0FEE633" wp14:editId="7DD235F3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95E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>
      <w:rPr>
        <w:b/>
        <w:sz w:val="24"/>
        <w:szCs w:val="24"/>
      </w:rPr>
      <w:t>STUDENT WORKSHEET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66DD6" w14:textId="77777777" w:rsidR="00526721" w:rsidRDefault="005267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D879A" w14:textId="77777777" w:rsidR="000D5438" w:rsidRPr="004E5592" w:rsidRDefault="000D5438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016C7DA1" wp14:editId="3A1C2D88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60B7C0B" wp14:editId="61A29BCB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34D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63A11"/>
    <w:multiLevelType w:val="hybridMultilevel"/>
    <w:tmpl w:val="07940E8A"/>
    <w:lvl w:ilvl="0" w:tplc="D4FC7F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1365E"/>
    <w:multiLevelType w:val="hybridMultilevel"/>
    <w:tmpl w:val="B0C89410"/>
    <w:lvl w:ilvl="0" w:tplc="DD2EC9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27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D5438"/>
    <w:rsid w:val="000E2689"/>
    <w:rsid w:val="000E313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1B9D"/>
    <w:rsid w:val="00292C53"/>
    <w:rsid w:val="00294E22"/>
    <w:rsid w:val="002C22EA"/>
    <w:rsid w:val="002C59BA"/>
    <w:rsid w:val="00301AA9"/>
    <w:rsid w:val="003117F6"/>
    <w:rsid w:val="00323334"/>
    <w:rsid w:val="003533B8"/>
    <w:rsid w:val="003752BE"/>
    <w:rsid w:val="003A346A"/>
    <w:rsid w:val="003B2917"/>
    <w:rsid w:val="003B541B"/>
    <w:rsid w:val="003C7B77"/>
    <w:rsid w:val="003E2B2F"/>
    <w:rsid w:val="003E6046"/>
    <w:rsid w:val="003F16F9"/>
    <w:rsid w:val="00430C1F"/>
    <w:rsid w:val="00442595"/>
    <w:rsid w:val="0045323E"/>
    <w:rsid w:val="00466481"/>
    <w:rsid w:val="00490E30"/>
    <w:rsid w:val="004B0EE1"/>
    <w:rsid w:val="004C5D20"/>
    <w:rsid w:val="004D0D83"/>
    <w:rsid w:val="004E1DF1"/>
    <w:rsid w:val="004E5592"/>
    <w:rsid w:val="004F039C"/>
    <w:rsid w:val="0050055B"/>
    <w:rsid w:val="00524710"/>
    <w:rsid w:val="00526721"/>
    <w:rsid w:val="00555342"/>
    <w:rsid w:val="005560E2"/>
    <w:rsid w:val="005A452E"/>
    <w:rsid w:val="005A6EE7"/>
    <w:rsid w:val="005E2EA4"/>
    <w:rsid w:val="005F1331"/>
    <w:rsid w:val="005F1A7B"/>
    <w:rsid w:val="006355D8"/>
    <w:rsid w:val="00642ECD"/>
    <w:rsid w:val="006502A0"/>
    <w:rsid w:val="0067351C"/>
    <w:rsid w:val="006772F5"/>
    <w:rsid w:val="00695159"/>
    <w:rsid w:val="006A4440"/>
    <w:rsid w:val="006B0615"/>
    <w:rsid w:val="006D166B"/>
    <w:rsid w:val="006F1893"/>
    <w:rsid w:val="006F3279"/>
    <w:rsid w:val="006F6C6B"/>
    <w:rsid w:val="00704AEE"/>
    <w:rsid w:val="00722F9A"/>
    <w:rsid w:val="00754539"/>
    <w:rsid w:val="00781BC6"/>
    <w:rsid w:val="007A0096"/>
    <w:rsid w:val="007A3C86"/>
    <w:rsid w:val="007A683E"/>
    <w:rsid w:val="007A748B"/>
    <w:rsid w:val="007C26E1"/>
    <w:rsid w:val="007D1027"/>
    <w:rsid w:val="007D1D65"/>
    <w:rsid w:val="007E0A9E"/>
    <w:rsid w:val="007E5309"/>
    <w:rsid w:val="00800DE1"/>
    <w:rsid w:val="00813B8F"/>
    <w:rsid w:val="00813F47"/>
    <w:rsid w:val="00844B5D"/>
    <w:rsid w:val="008450D6"/>
    <w:rsid w:val="00856FCA"/>
    <w:rsid w:val="00873B8C"/>
    <w:rsid w:val="00880E3B"/>
    <w:rsid w:val="00894D2B"/>
    <w:rsid w:val="008A405F"/>
    <w:rsid w:val="008C7F34"/>
    <w:rsid w:val="008E580C"/>
    <w:rsid w:val="0090047A"/>
    <w:rsid w:val="00925026"/>
    <w:rsid w:val="00931264"/>
    <w:rsid w:val="009368BB"/>
    <w:rsid w:val="00942A4B"/>
    <w:rsid w:val="00961D59"/>
    <w:rsid w:val="009636CE"/>
    <w:rsid w:val="009B2CE4"/>
    <w:rsid w:val="009B2D55"/>
    <w:rsid w:val="009C0343"/>
    <w:rsid w:val="009E0D11"/>
    <w:rsid w:val="00A24A16"/>
    <w:rsid w:val="00A37D14"/>
    <w:rsid w:val="00A53F8B"/>
    <w:rsid w:val="00A6111E"/>
    <w:rsid w:val="00A6168B"/>
    <w:rsid w:val="00A62028"/>
    <w:rsid w:val="00A62910"/>
    <w:rsid w:val="00AA6236"/>
    <w:rsid w:val="00AB6AE7"/>
    <w:rsid w:val="00AD21F5"/>
    <w:rsid w:val="00B06225"/>
    <w:rsid w:val="00B16866"/>
    <w:rsid w:val="00B23C7A"/>
    <w:rsid w:val="00B305F5"/>
    <w:rsid w:val="00B46FF9"/>
    <w:rsid w:val="00B47E1D"/>
    <w:rsid w:val="00B75483"/>
    <w:rsid w:val="00B83ABA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D4BAA"/>
    <w:rsid w:val="00CE15FE"/>
    <w:rsid w:val="00CF6E58"/>
    <w:rsid w:val="00D02E15"/>
    <w:rsid w:val="00D14F44"/>
    <w:rsid w:val="00D278E8"/>
    <w:rsid w:val="00D421E8"/>
    <w:rsid w:val="00D44604"/>
    <w:rsid w:val="00D479B3"/>
    <w:rsid w:val="00D52283"/>
    <w:rsid w:val="00D524E5"/>
    <w:rsid w:val="00D71279"/>
    <w:rsid w:val="00D72FEF"/>
    <w:rsid w:val="00D755FA"/>
    <w:rsid w:val="00DC4A4E"/>
    <w:rsid w:val="00DD1874"/>
    <w:rsid w:val="00DD63BD"/>
    <w:rsid w:val="00DE16EC"/>
    <w:rsid w:val="00DF05DB"/>
    <w:rsid w:val="00DF7E20"/>
    <w:rsid w:val="00E172C6"/>
    <w:rsid w:val="00E24309"/>
    <w:rsid w:val="00E53D82"/>
    <w:rsid w:val="00E72556"/>
    <w:rsid w:val="00E9330A"/>
    <w:rsid w:val="00EE6B97"/>
    <w:rsid w:val="00F12C3B"/>
    <w:rsid w:val="00F26884"/>
    <w:rsid w:val="00F46B9C"/>
    <w:rsid w:val="00F72ECC"/>
    <w:rsid w:val="00F8355F"/>
    <w:rsid w:val="00FA3196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1709C"/>
  <w15:docId w15:val="{99F9B4DF-E84C-469F-8B63-3FEF5926B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151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 Harden</dc:creator>
  <cp:lastModifiedBy>HEC Harden</cp:lastModifiedBy>
  <cp:revision>10</cp:revision>
  <cp:lastPrinted>2018-06-05T12:15:00Z</cp:lastPrinted>
  <dcterms:created xsi:type="dcterms:W3CDTF">2018-02-28T11:15:00Z</dcterms:created>
  <dcterms:modified xsi:type="dcterms:W3CDTF">2018-06-14T15:47:00Z</dcterms:modified>
</cp:coreProperties>
</file>